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 name="_tx_id_1_"/>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00003"/>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tcBorders>
            <w:shd w:val="clear" w:fill="auto"/>
            <w:vAlign w:val="top"/>
          </w:tcPr>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spacing w:after="56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fill="auto"/>
            <w:vAlign w:val="top"/>
          </w:tcPr>
          <w:p>
            <w:pPr>
              <w:pStyle w:val="[Normal]"/>
              <w:jc w:val="center"/>
              <w:rPr>
                <w:b/>
                <w:lang w:val="de-DE" w:eastAsia="de-DE" w:bidi="de-DE"/>
              </w:rPr>
            </w:pPr>
            <w:r>
              <w:rPr>
                <w:b/>
                <w:lang w:val="de-DE" w:eastAsia="de-DE" w:bidi="de-DE"/>
              </w:rPr>
              <w:t xml:space="preserve">Inhaltsverzeichnis</w:t>
            </w:r>
          </w:p>
        </w:tc>
        <w:tc>
          <w:tcPr>
            <w:tcW w:w="4" w:type="dxa"/>
            <w:shd w:val="clear" w:fill="auto"/>
            <w:vAlign w:val="top"/>
          </w:tcPr>
          <w:p>
            <w:pPr>
              <w:pStyle w:val="[Normal]"/>
              <w:rPr>
                <w:lang w:val="de-DE" w:eastAsia="de-DE" w:bidi="de-DE"/>
              </w:rPr>
            </w:pPr>
          </w:p>
        </w:tc>
      </w:tr>
    </w:tbl>
    <w:p>
      <w:pPr>
        <w:pStyle w:val="[Normal]"/>
        <w:spacing w:after="283"/>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Produktgruppe 5 Abdichtung................................................................</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5.1</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 1-K / S 1-K C..........................................................................</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5.2</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SK 4 PROTECT.........................................................................</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3</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5.3</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 7 PLUS...................................................................................</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4</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5.4</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 8 FLOW..................................................................................</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5</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5.5</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8 + 9...........................................................................................</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6</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5.6</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SK 12.........................................................................................</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7</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5.7</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SK 12 BT...................................................................................</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8</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5.8</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SK 90° / 270°.............................................................................</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9</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5.9</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SK Manschetten.......................................................................</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10</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5.10</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SK 100 W..................................................................................</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11</w:t>
            </w:r>
          </w:p>
        </w:tc>
      </w:tr>
    </w:tbl>
    <w:p>
      <w:pPr>
        <w:pStyle w:val="[Normal]"/>
        <w:spacing w:before="7784"/>
        <w:rPr>
          <w:sz w:val="2"/>
          <w:lang w:val="de-DE" w:eastAsia="de-DE" w:bidi="de-DE"/>
        </w:rPr>
      </w:pPr>
      <w:r>
        <w:rPr>
          <w:sz w:val="2"/>
          <w:lang w:val="de-DE" w:eastAsia="de-DE" w:bidi="de-DE"/>
        </w:rPr>
        <w:t xml:space="preserve">   </w:t>
      </w:r>
    </w:p>
    <w:tbl>
      <w:tblPr>
        <w:tblW w:w="0" w:type="auto"/>
        <w:jc w:val="left"/>
        <w:tblInd w:w="0" w:type="dxa"/>
        <w:tblBorders>
          <w:top w:val="single" w:sz="2"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2" name="_tx_id_2_"/>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0000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rPr>
          <w:sz w:val="2"/>
        </w:rPr>
      </w:pPr>
      <w:r>
        <w:rPr>
          <w:sz w:val="2"/>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rPr>
            </w:pPr>
            <w:r>
              <w:rPr>
                <w:b/>
                <w:sz w:val="20"/>
              </w:rPr>
              <w:t xml:space="preserve">5</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rPr>
            </w:pPr>
          </w:p>
        </w:tc>
        <w:tc>
          <w:tcPr>
            <w:tcW w:w="7082" w:type="dxa"/>
            <w:shd w:val="clear" w:fill="auto"/>
            <w:vAlign w:val="top"/>
          </w:tcPr>
          <w:p>
            <w:pPr>
              <w:pStyle w:val="Stufe"/>
            </w:pPr>
            <w:r>
              <w:rPr>
                <w:lang w:val="de-DE" w:eastAsia="de-DE" w:bidi="de-DE"/>
              </w:rPr>
              <w:t xml:space="preserve">Produktgruppe 5 Abdichtung</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5.1</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 1-K / S 1-K C</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5.1.1</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Wand- und Bodenflächen der Wassereinwirkungsklassen W0-I mit Polymerdispersions-Verbundabdichtung abdichten</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Wand- und Bodenflächen der Wassereinwirkungsklassen W0-I gemäß DIN 18534 mit einkomponentiger und gebrauchsfertiger, rissüberbrückender, lösemittelfreier, tropffreier, Spachtel- sowie roll- und streichfähiger Polymerdispersions-Abdichtung im Verbund mit keramischen Fliesen und Platten abdichten. Die Abdichtung ist auf den in den vorherigen Positionen vorbereiteten Untergrund in zweimaliger Applikation aufzutragen. Der zweite Auftrag ist in einer Kontrastfarbe auszuführen und vor dem Auftrag muss die erste Schicht ausreichend erhärtet sein. Die gesamte Trockenschichtdicke der Abdichtung muss gemäß DIN 18534 Stand Juli 2017 mindestens 0,5 mm betragen. Rissgefährdete Übergänge werden im System mit Dichtmanschetten, Dichtformteilen und Bändern überbrückt.</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Dichtmasse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C Dichtmasse (Kontrastfarbe)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TRICOM Dichtset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0" w:name="LT_109700"/>
      <w:bookmarkEnd w:id="0"/>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rPr>
          <w:sz w:val="2"/>
          <w:lang w:val="de-DE" w:eastAsia="de-DE" w:bidi="de-DE"/>
        </w:rPr>
      </w:pPr>
      <w:r>
        <w:rPr>
          <w:sz w:val="2"/>
          <w:lang w:val="de-DE" w:eastAsia="de-DE" w:bidi="de-DE"/>
        </w:rPr>
        <w:t xml:space="preserve"> </w:t>
      </w:r>
    </w:p>
    <w:p>
      <w:pPr>
        <w:pStyle w:val="[Normal]"/>
        <w:spacing w:before="521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r>
              <w:rPr>
                <w:b/>
                <w:sz w:val="20"/>
                <w:lang w:val="de-DE" w:eastAsia="de-DE" w:bidi="de-DE"/>
              </w:rPr>
              <w:t xml:space="preserve">Übertrag: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rPr>
          <w:sz w:val="2"/>
          <w:lang w:val="de-DE" w:eastAsia="de-DE" w:bidi="de-DE"/>
        </w:rPr>
      </w:pPr>
    </w:p>
    <w:p>
      <w:pPr>
        <w:pStyle w:val="[Normal]"/>
        <w:pageBreakBefore/>
        <w:rPr>
          <w:sz w:val="2"/>
          <w:lang w:val="de-DE" w:eastAsia="de-DE" w:bidi="de-DE"/>
        </w:rPr>
      </w:pPr>
      <w:r>
        <w:rPr>
          <w:sz w:val="2"/>
          <w:lang w:val="de-DE" w:eastAsia="de-DE" w:bidi="de-DE"/>
        </w:rPr>
        <w:t xml:space="preserve">   </w:t>
      </w: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3" name="_tx_id_3_"/>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00005"/>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2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r>
              <w:rPr>
                <w:b/>
                <w:sz w:val="20"/>
                <w:lang w:val="de-DE" w:eastAsia="de-DE" w:bidi="de-DE"/>
              </w:rPr>
              <w:t xml:space="preserve">Übertrag: ....................</w:t>
            </w:r>
          </w:p>
        </w:tc>
      </w:tr>
    </w:tbl>
    <w:p>
      <w:pPr>
        <w:pStyle w:val="[Normal]"/>
        <w:rPr>
          <w:b/>
          <w:sz w:val="2"/>
          <w:lang w:val="de-DE" w:eastAsia="de-DE" w:bidi="de-DE"/>
        </w:rPr>
      </w:pPr>
      <w:r>
        <w:rPr>
          <w:b/>
          <w:sz w:val="2"/>
          <w:lang w:val="de-DE" w:eastAsia="de-DE" w:bidi="de-DE"/>
        </w:rPr>
        <w:t xml:space="preserve">   </w:t>
      </w:r>
    </w:p>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5.1.2</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Wandflächen der Wassereinwirkungsklassen W0-I bis W2-I (hoch) mit Polymerdispersions-Verbundabdichtung abdichten</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Wandflächen der Wassereinwirkungsklassen W0-I bis W2-I (hoch) gemäß ZDB-Merkblatt „Verbundabdichtungen“ mit einkomponentiger und gebrauchsfertiger, rissüberbrückender, lösemittelfreier, tropffreier, Spachtel- sowie roll- und streichfähiger Polymerdispersions-Abdichtung im Verbund mit keramischen Fliesen und Platten abdichten. Die Abdichtung ist auf den in den vorherigen Positionen vorbereiteten Untergrund in zweimaliger Applikation aufzutragen. Der zweite Auftrag ist in einer Kontrastfarbe auszuführen und vor dem Auftrag muss die erste Schicht ausreichend erhärtet sein. Die gesamte Trockenschichtdicke der Abdichtung muss gemäß der DIN 18534 Stand Juli 2017 mindestens 0,5 mm betragen. Rissgefährdete Übergänge werden im System mit Dichtmanschetten, Dichtformteilen und Bändern überbrückt.</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Dichtmasse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C Dichtmasse (Kontrastfarbe)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TRICOM Dichtset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 w:name="LT_109701"/>
      <w:bookmarkEnd w:id="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0"/>
                <w:lang w:val="de-DE" w:eastAsia="de-DE" w:bidi="de-DE"/>
              </w:rPr>
            </w:pPr>
            <w:r>
              <w:rPr>
                <w:b/>
                <w:sz w:val="20"/>
                <w:lang w:val="de-DE" w:eastAsia="de-DE" w:bidi="de-DE"/>
              </w:rPr>
              <w:t xml:space="preserve">5.1 Produkt S 1-K / S 1-K C</w:t>
            </w:r>
          </w:p>
        </w:tc>
        <w:tc>
          <w:tcPr>
            <w:tcW w:w="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rPr>
          <w:sz w:val="2"/>
          <w:lang w:val="de-DE" w:eastAsia="de-DE" w:bidi="de-DE"/>
        </w:rPr>
      </w:pPr>
      <w:r>
        <w:rPr>
          <w:sz w:val="2"/>
          <w:lang w:val="de-DE" w:eastAsia="de-DE" w:bidi="de-DE"/>
        </w:rPr>
        <w:t xml:space="preserve">   </w:t>
      </w:r>
    </w:p>
    <w:p>
      <w:pPr>
        <w:pStyle w:val="[Normal]"/>
        <w:spacing w:before="5648"/>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4" name="_tx_id_4_"/>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00006"/>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3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5.2</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SK 4 PROTECT</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5.2.1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Schützen der Abdichtung an gefährdeten Übergängen wie Wand/Wand und Wand/Boden sowie Dehnungsfugen mit Schnittschutzband gemäß DIN 18534-1 </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Schutz der Abdichtung an Wand/Wand- und Wand/Boden-Übergängen sowie Anschluss- und Dehnungsfugen mit selbstklebendem, flexiblem, alkalibeständigem, hoch reiß- und schnittfestem Schutzband gemäß DIN 18534-1. Dazu wird das Schutzband mittig auf die entsprechende Position der späteren Wartungsfuge im Fliesenbelag auf die fertige Abdichtung geklebt.</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4 PROTECT TRICOM Schnittschutzband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2" w:name="LT_109703"/>
      <w:bookmarkEnd w:id="2"/>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5.2 Produkt SK 4 PROTECT</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520"/>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5" name="_tx_id_5_"/>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00007"/>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4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5.3</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 7 PLUS</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5.3.1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Flächen der Wassereinwirkungsklassen W0-I bis W3-I (ohne zusätzliche chem. Belastung) mit zementärer, faserverstärkter pulverförmiger 1-K Verbundabdichtung abdichten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Flächen der Wassereinwirkungsklassen W0-I bis W3-I (ohne zusätzliche chem. Belastung) gemäß DIN 18534 mit zementärer, faserverstärkter pulverförmiger, geruchsneutraler, flexibler, rissüberbrückender, dampfdiffusionsoffener 1-K Abdichtung im Verbund mit Naturwerkstein bzw. keramischen Fliesen und Platten abdichten. Die Abdichtung ist auf den in den vorherigen Positionen vorbereiteten Untergrund in zweimaliger Applikation aufzutragen. Vor dem zweiten Auftrag muss die erste Schicht ausreichend erhärtet sein. Die gesamte Trockenschichtdicke der Abdichtung muss gemäß der DIN 18534 Stand Juli 2017 mindestens 2 mm betragen. Rissgefährdete Übergänge werden im System mit Dichtmanschetten, Dichtformteilen und Bändern überbrückt.</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7 PLUS Flexible Dichtschlämme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TRICOM Dichtset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	</w:t>
      </w:r>
      <w:r>
        <w:rPr>
          <w:b w:val="off"/>
          <w:lang w:val="de-DE" w:eastAsia="de-DE" w:bidi="de-DE"/>
        </w:rPr>
      </w:r>
      <w:bookmarkStart w:id="3" w:name="LT_109705"/>
      <w:bookmarkEnd w:id="3"/>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5.3 Produkt S 7 PLUS</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5924"/>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6" name="_tx_id_6_"/>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00008"/>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5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5.4</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 8 FLOW</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5.4.1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Bodenflächen Wassereinwirkungsklassen W0-I bis W3-I (ohne zusätzliche chem. Belastung) mit selbstverlaufender zementärer 1-K Verbundabdichtung abdichten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Bodenflächen der Wassereinwirkungsklassen W0-I bis W3-I (ohne zusätzliche chem. Belastung) gemäß DIN 18534 mit selbstverlaufender und -glättender, geruchsneutraler, flexibler, rissüberbrückender, dampfdiffusionsoffener zementärer 1-K Abdichtung im Verbund mit Naturwerkstein bzw. keramischen Fliesen und Platten abdichten. Auf Gefälle bis 3% einsetzbar. Die Abdichtung ist auf den in den vorherigen Positionen vorbereiteten Untergrund in zweimaliger Applikation aufzutragen. Vor dem zweiten Auftrag muss die erste Schicht ausreichend erhärtet sein. Die gesamte Trockenschichtdicke der Abdichtung muss gemäß der DIN 18534 Stand Juli 2017 mindestens 2 mm betragen. Rissgefährdete Übergänge werden im System mit Dichtmanschetten, Dichtformteilen und Bändern überbrückt.</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8 FLOW Selbstverlaufende Abdichtung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TRICOM Dichtset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	</w:t>
      </w:r>
      <w:r>
        <w:rPr>
          <w:b w:val="off"/>
          <w:lang w:val="de-DE" w:eastAsia="de-DE" w:bidi="de-DE"/>
        </w:rPr>
      </w:r>
      <w:bookmarkStart w:id="4" w:name="LT_109707"/>
      <w:bookmarkEnd w:id="4"/>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5.4 Produkt S 8 FLOW</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569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7" name="_tx_id_7_"/>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00009"/>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6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5.5</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8 + 9</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5.5.1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Wand- und Bodenflächen der Wassereinwirkungsklassen W0-I bis W2-I (hoch) mit zementärer, 2-K Verbundabdichtung abdichten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Wand- und Bodenflächen der Wassereinwirkungsklassen W0-I bis W2-I (hoch) gemäß DIN 18534 mit zementärer, flexibler, rissüberbrückender, sehr emissionsarmer (EMICODE EC 1 Plus), dampfdiffusionsoffener 2-K Kunststoff-Zement-Mörtel-Kombinationsabdichtung im Verbund mit Naturwerkstein bzw. keramischen Fliesen und Platten abdichten. Die Abdichtung ist auf den in den vorherigen Positionen vorbereiteten Untergrund in zweimaliger Applikation aufzutragen. Vor dem zweiten Auftrag muss die erste Schicht ausreichend erhärtet sein. Die gesamte Trockenschichtdicke der Abdichtung muss gemäß der DIN 18534 Stand Juli 2017 mindestens 2 mm betragen. Rissgefährdete Übergänge werden im System mit Dichtmanschetten, Dichtformteilen und Bändern überbrückt.</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8+9 Dichtmasse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TRICOM Dichtset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5" w:name="LT_109709"/>
      <w:bookmarkEnd w:id="5"/>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5.5 Produkt 8 + 9</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5477"/>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8" name="_tx_id_8_"/>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00010"/>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7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tcBorders>
            <w:shd w:val="clear" w:fill="auto"/>
            <w:vAlign w:val="top"/>
          </w:tcPr>
          <w:p>
            <w:pPr>
              <w:pStyle w:val="[Normal]"/>
              <w:rPr>
                <w:sz w:val="20"/>
                <w:lang w:val="de-DE" w:eastAsia="de-DE" w:bidi="de-DE"/>
              </w:rPr>
            </w:pPr>
          </w:p>
        </w:tc>
        <w:tc>
          <w:tcPr>
            <w:tcW w:w="2829" w:type="dxa"/>
            <w:tcBorders>
              <w:top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tcBorders>
            <w:shd w:val="clear" w:fill="auto"/>
            <w:vAlign w:val="top"/>
          </w:tcPr>
          <w:p>
            <w:pPr>
              <w:pStyle w:val="[Normal]"/>
              <w:rPr>
                <w:sz w:val="20"/>
                <w:lang w:val="de-DE" w:eastAsia="de-DE" w:bidi="de-DE"/>
              </w:rPr>
            </w:pPr>
          </w:p>
        </w:tc>
        <w:tc>
          <w:tcPr>
            <w:tcW w:w="1412" w:type="dxa"/>
            <w:tcBorders>
              <w:top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tcBorders>
            <w:shd w:val="clear" w:fill="auto"/>
            <w:vAlign w:val="top"/>
          </w:tcPr>
          <w:p>
            <w:pPr>
              <w:pStyle w:val="[Normal]"/>
              <w:rPr>
                <w:sz w:val="20"/>
                <w:lang w:val="de-DE" w:eastAsia="de-DE" w:bidi="de-DE"/>
              </w:rPr>
            </w:pPr>
          </w:p>
        </w:tc>
        <w:tc>
          <w:tcPr>
            <w:tcW w:w="1015" w:type="dxa"/>
            <w:tcBorders>
              <w:top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tcBorders>
            <w:shd w:val="clear" w:fill="auto"/>
            <w:vAlign w:val="top"/>
          </w:tcPr>
          <w:p>
            <w:pPr>
              <w:pStyle w:val="[Normal]"/>
              <w:rPr>
                <w:sz w:val="20"/>
                <w:lang w:val="de-DE" w:eastAsia="de-DE" w:bidi="de-DE"/>
              </w:rPr>
            </w:pPr>
          </w:p>
        </w:tc>
        <w:tc>
          <w:tcPr>
            <w:tcW w:w="1695" w:type="dxa"/>
            <w:tcBorders>
              <w:top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tcBorders>
            <w:shd w:val="clear" w:fill="auto"/>
            <w:vAlign w:val="top"/>
          </w:tcPr>
          <w:p>
            <w:pPr>
              <w:pStyle w:val="[Normal]"/>
              <w:rPr>
                <w:sz w:val="20"/>
                <w:lang w:val="de-DE" w:eastAsia="de-DE" w:bidi="de-DE"/>
              </w:rPr>
            </w:pPr>
          </w:p>
        </w:tc>
        <w:tc>
          <w:tcPr>
            <w:tcW w:w="1695" w:type="dxa"/>
            <w:tcBorders>
              <w:top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5.6</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SK 12</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5.6.1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Übergänge Wand/Wand und Wand/Boden, Anschluss- und Dehnungsfugen mit Dichtband 120 mm überbrücken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Abdichten der Eckbereiche Wand/Wand und Wand/Boden, Anschluss- und Dehnungsfugen mit hoch reißfestem und dehnfähigem Dichtband, zugelassen für die Wassereinwirkungsklassen W0-I bis W3-I gemäß DIN 18534. Dazu wird das Dichtband in das gleichmäßig aufgezogene Abdichtmaterial eingelegt und vollsatt eingedrückt, sodass keine Lufteinschlüsse verbleiben. </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Abschließend wird das Dichtband mit dem Abdichtungsmaterial für die Wand- oder Bodenfläche überdeckt.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12 TRICOM Dichtband 120</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7 + 8, Dichtkleber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8 + 9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7 PLUS Flexible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8 FLOW Selbstverlaufende Abdichtung</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 S 1-K C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6" w:name="LT_109711"/>
      <w:bookmarkEnd w:id="6"/>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5.6 Produkt SK 12</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4337"/>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9" name="_tx_id_9_"/>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00011"/>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8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5.7</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SK 12 BT</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5.7.1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Anschluss der Abdichtung an Duschtassen und Badewannen mit Wannendichtband gemäß DIN 18534</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Anschließen der Flächenabdichtung an die Duschtasse bzw. Badewanne mit hoch reißfesten und dehnfähigen, wasserundichlässigen und witterungsbeständigen, alkalibeständigen und partiell selbstklebenden Wannendichtband, zugelassen für die Wassereinwirkungsklassen W0-I bis W3-I gemäß DIN 18534. Dazu wird das Wannendichtband mit der selbstklebenden Seite auf der Duschtasse bzw. Badewanne fixiert und die andere Seite in das gleichmäßig aufgezogene Abdichtmaterial der flächigen Abdichtung eingelegt und vollsatt eingedrückt, sodass keine Lufteinschlüsse verbleiben. </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Abschließend wird das Wannendichtband mit dem Abdichtungsmaterial für die Wand- oder Bodenfläche überdeckt.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12 BT TRICOM Wannendichtband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7 + 8, Dichtkleber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8 + 9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7 PLUS Flexible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8 FLOW Selbstverlaufende Abdichtung</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 S 1-K C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7" w:name="LT_109713"/>
      <w:bookmarkEnd w:id="7"/>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5.7 Produkt SK 12 BT</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3425"/>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0" name="_tx_id_10_"/>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00012"/>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9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5.8</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SK 90° / 270°</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5.8.1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Abdichten von Innen- und Außenecken aus vorgefertigten, flexiblen und rissüberbrückenden Dichtecken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Abdichten der Raumecken und sonstiger Innen- und Außenecken mit vorgefertigten, hoch reißfesten und dehnfähigen Dichtecken, zugelassen für die Wassereinwirkungsklassen W0-I bis W3-I gemäß DIN 18534. Dazu werden die Dichtecken (Innen- / Außenecke) in das gleichmäßig aufgezogene Abdichtmaterial eingelegt und vollsatt eingedrückt, sodass keine Lufteinschlüsse verbleiben. </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Abschließend werden die Dichtecken mit dem Abdichtungsmaterial der Flächenabdichtung überdeckt.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90 TRICOM Innenecke 90°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270 TRICOM Innenecke 	270°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7 + 8, Dichtkleber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8 + 9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7 PLUS Flexible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8 FLOW Selbstverlaufende Abdichtung</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 S 1-K C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8" w:name="LT_109715"/>
      <w:bookmarkEnd w:id="8"/>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St</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5.8 Produkt SK 90° / 270°</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3653"/>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1" name="_tx_id_11_"/>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00013"/>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10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5.9</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SK Manschetten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5.9.1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Anschlüsse und Durchdringungen abdichten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Abdichten der Anschlüsse und Durchdringungen mit vorgefertigten, hoch reißfesten und dehnfähigen Dichtmanschetten, zugelassen für die Wassereinwirkungsklassen W0-I bis W3-I gemäß DIN 18534. Dazu werden die Dichtmanschetten in das gleichmäßig aufgezogene Abdichtmaterial eingelegt und vollsatt eingedrückt, sodass keine Lufteinschlüsse verbleiben. </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Abschließend werden die Dichtmanschetten mit dem Abdichtungsmaterial der Flächenabdichtung überdeckt.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SK-W Dichtmanschette 140 x 140</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SK-F Dichtmanschette 425 x 425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SK-G TRICOM Rohrkragenmanschette 350 x 350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SK-R TRICOM Dehnzonenmanschette 200 x 200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SK-S TRICOM Dehnzonenmanschette 150 x 150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SK-B TRICOM Dichtring 100/200</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7 + 8, Dichtkleber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8 + 9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7 PLUS Flexible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8 FLOW Selbstverlaufende Abdichtung</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1-K / S 1-K C Dichtmasse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w:t>
      </w:r>
      <w:r>
        <w:rPr>
          <w:b w:val="off"/>
          <w:lang w:val="de-DE" w:eastAsia="de-DE" w:bidi="de-DE"/>
        </w:rPr>
      </w:r>
      <w:bookmarkStart w:id="9" w:name="LT_109717"/>
      <w:bookmarkEnd w:id="9"/>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St</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5.9 Produkt SK Manschetten</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206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2" name="_tx_id_12_"/>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0001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11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5 Abdichtung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5.10</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SK 100 W</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5.10.1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Flächen der Wassereinwirkungsklassen W0-I bis W3-I mit bahnenförmiger Verbundabdichtung abdichten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Abdichten von Wand-, Boden- und Deckenflächen der Wassereinwirkungsklassen W0-I bis W3-I mit bahnenförmiger, geruchsneutraler, flexibler, rissüberbrückender, hoch reißfester, wasserdampfdichter und sehr emissionsarmen (EMICODE EC 1 Plus) Dichtbahn im Verbund mit Naturwerkstein bzw. keramischen Fliesen und Platten abdichten. Geprüft nach der ETAG 022 Leitlinie. Die Abdichtung wird auf den in den vorherigen Positionen vorbereiteten Untergrund mit ARDEX 7+8 oder ARDEX X 77 vollsatt verklebt. Rissgefährdete Übergänge werden im System mit Dichtmanschetten, Dichtformteilen und Bändern überbrückt.</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SK 100 W TRICOM Dichtbahn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7 + 8, Dichtkleber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CA 20 P SMP Montagekleber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X 77 MICROTEC Flexkleber</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0" w:name="LT_109719"/>
      <w:bookmarkEnd w:id="10"/>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5.10 Produkt SK 100 W</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5 Produktgruppe 5 Abdichtung</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456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3" name="_tx_id_13_"/>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00015"/>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12 / 12</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r>
        <w:tc>
          <w:tcPr>
            <w:tcW w:w="10483" w:type="dxa"/>
            <w:tcBorders>
              <w:top w:val="single" w:sz="4" w:space="0" w:color="000000"/>
            </w:tcBorders>
            <w:shd w:val="clear" w:fill="auto"/>
            <w:tcMar>
              <w:top w:w="36" w:type="dxa"/>
            </w:tcMar>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56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fill="auto"/>
            <w:vAlign w:val="top"/>
          </w:tcPr>
          <w:p>
            <w:pPr>
              <w:pStyle w:val="[Normal]"/>
              <w:jc w:val="center"/>
              <w:rPr>
                <w:b/>
                <w:sz w:val="20"/>
                <w:lang w:val="de-DE" w:eastAsia="de-DE" w:bidi="de-DE"/>
              </w:rPr>
            </w:pPr>
            <w:r>
              <w:rPr>
                <w:b/>
                <w:sz w:val="20"/>
                <w:lang w:val="de-DE" w:eastAsia="de-DE" w:bidi="de-DE"/>
              </w:rPr>
              <w:t xml:space="preserve">Zusammenstellung</w:t>
            </w:r>
          </w:p>
        </w:tc>
        <w:tc>
          <w:tcPr>
            <w:tcW w:w="4" w:type="dxa"/>
            <w:shd w:val="clear" w:fill="auto"/>
            <w:vAlign w:val="top"/>
          </w:tcPr>
          <w:p>
            <w:pPr>
              <w:pStyle w:val="[Normal]"/>
              <w:rPr>
                <w:sz w:val="20"/>
                <w:lang w:val="de-DE" w:eastAsia="de-DE" w:bidi="de-DE"/>
              </w:rPr>
            </w:pPr>
          </w:p>
        </w:tc>
      </w:tr>
    </w:tbl>
    <w:p>
      <w:pPr>
        <w:pStyle w:val="[Normal]"/>
        <w:spacing w:after="283"/>
        <w:rPr>
          <w:sz w:val="2"/>
          <w:lang w:val="de-DE" w:eastAsia="de-DE" w:bidi="de-DE"/>
        </w:rPr>
      </w:pPr>
      <w:r>
        <w:rPr>
          <w:sz w:val="2"/>
          <w:lang w:val="de-DE" w:eastAsia="de-DE" w:bidi="de-DE"/>
        </w:rPr>
        <w:t xml:space="preserve">   </w:t>
      </w:r>
    </w:p>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5.1</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 1-K / S 1-K C</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5.2</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SK 4 PROTECT</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5.3</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 7 PLUS</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5.4</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 8 FLOW</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5.5</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8 + 9</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5.6</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SK 12</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5.7</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SK 12 BT</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5.8</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SK 90° / 270°</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5.9</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SK Manschetten</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5.10</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SK 100 W</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367"/>
        <w:gridCol w:w="1695"/>
      </w:tblGrid>
      <w:tr>
        <w:tc>
          <w:tcPr>
            <w:tcW w:w="1695" w:type="dxa"/>
            <w:shd w:val="clear" w:fill="auto"/>
            <w:vAlign w:val="top"/>
          </w:tcPr>
          <w:p>
            <w:pPr>
              <w:pStyle w:val="[Normal]"/>
              <w:rPr>
                <w:b/>
                <w:sz w:val="20"/>
                <w:lang w:val="de-DE" w:eastAsia="de-DE" w:bidi="de-DE"/>
              </w:rPr>
            </w:pPr>
            <w:r>
              <w:rPr>
                <w:b/>
                <w:sz w:val="20"/>
                <w:lang w:val="de-DE" w:eastAsia="de-DE" w:bidi="de-DE"/>
              </w:rPr>
              <w:t xml:space="preserve">5</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Produktgruppe 5 Abdichtung</w:t>
            </w:r>
          </w:p>
        </w:tc>
        <w:tc>
          <w:tcPr>
            <w:tcW w:w="1367"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b/>
                <w:sz w:val="20"/>
                <w:lang w:val="de-DE" w:eastAsia="de-DE" w:bidi="de-DE"/>
              </w:rPr>
            </w:pPr>
            <w:r>
              <w:rPr>
                <w:b/>
                <w:sz w:val="20"/>
                <w:lang w:val="de-DE" w:eastAsia="de-DE" w:bidi="de-DE"/>
              </w:rPr>
              <w:t xml:space="preserve">....................</w:t>
            </w:r>
          </w:p>
        </w:tc>
      </w:tr>
    </w:tbl>
    <w:p>
      <w:pPr>
        <w:pStyle w:val="[Normal]"/>
        <w:spacing w:after="57"/>
        <w:rPr>
          <w:sz w:val="2"/>
          <w:lang w:val="de-DE" w:eastAsia="de-DE" w:bidi="de-DE"/>
        </w:rPr>
      </w:pPr>
      <w:r>
        <w:rPr>
          <w:sz w:val="2"/>
          <w:lang w:val="de-DE" w:eastAsia="de-DE" w:bidi="de-DE"/>
        </w:rPr>
        <w:t xml:space="preserve">   </w:t>
      </w:r>
    </w:p>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Summe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b/>
                <w:sz w:val="20"/>
                <w:lang w:val="de-DE" w:eastAsia="de-DE" w:bidi="de-DE"/>
              </w:rPr>
            </w:pPr>
            <w:r>
              <w:rPr>
                <w:b/>
                <w:sz w:val="20"/>
                <w:lang w:val="de-DE" w:eastAsia="de-DE" w:bidi="de-DE"/>
              </w:rPr>
              <w:t xml:space="preserve">....................</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zzgl. MwSt  ......... %</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Gesamtsumme</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283"/>
        <w:rPr>
          <w:sz w:val="2"/>
          <w:lang w:val="de-DE" w:eastAsia="de-DE" w:bidi="de-DE"/>
        </w:rPr>
      </w:pPr>
      <w:r>
        <w:rPr>
          <w:sz w:val="2"/>
          <w:lang w:val="de-DE" w:eastAsia="de-DE" w:bidi="de-DE"/>
        </w:rPr>
        <w:t xml:space="preserve">   </w:t>
      </w:r>
    </w:p>
    <w:p>
      <w:pPr>
        <w:pStyle w:val="[Normal]"/>
        <w:spacing w:before="6193"/>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rPr>
          <w:sz w:val="2"/>
          <w:lang w:val="de-DE" w:eastAsia="de-DE" w:bidi="de-DE"/>
        </w:rPr>
      </w:pPr>
    </w:p>
    <w:sectPr>
      <w:pgSz w:w="11906" w:h="16838"/>
      <w:pgMar w:top="567" w:right="283" w:bottom="567" w:left="850"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43"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NewsGotT">
    <w:charset w:val="00"/>
    <w:family w:val="auto"/>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Normal">
    <w:name w:val="Normal"/>
    <w:next w:val="Normal"/>
    <w:qFormat/>
    <w:pPr>
      <w:widowControl w:val="off"/>
      <w:spacing w:before="0" w:after="0" w:line="240" w:lineRule="auto"/>
      <w:ind w:left="0" w:right="0" w:firstLine="0"/>
      <w:jc w:val="left"/>
    </w:pPr>
    <w:rPr>
      <w:rFonts w:ascii="NewsGotT" w:hAnsi="NewsGotT" w:eastAsia="NewsGotT" w:cs="NewsGotT"/>
      <w:b w:val="off"/>
      <w:bCs w:val="off"/>
      <w:i w:val="off"/>
      <w:iCs w:val="off"/>
      <w:strike w:val="off"/>
      <w:color w:val="auto"/>
      <w:sz w:val="24"/>
      <w:szCs w:val="24"/>
      <w:shd w:val="clear" w:fill="auto"/>
      <w:rtl w:val="off"/>
      <w:lang w:val="x-none" w:eastAsia="x-none" w:bidi="x-none"/>
    </w:rPr>
  </w:style>
  <w:style w:type="character" w:styleId="Hyperlink">
    <w:name w:val="Hyperlink"/>
    <w:qFormat/>
    <w:rPr>
      <w:color w:val="0000FF"/>
      <w:u w:val="single"/>
      <w:rtl w:val="off"/>
      <w:lang w:val="x-none" w:eastAsia="x-none" w:bidi="x-none"/>
    </w:rPr>
  </w:style>
  <w:style w:type="paragraph" w:styleId="Stufe">
    <w:name w:val="Stufe"/>
    <w:basedOn w:val="[Normal]"/>
    <w:next w:val="Stufe"/>
    <w:qFormat/>
    <w:pPr/>
    <w:rPr>
      <w:b/>
      <w:bCs/>
      <w:sz w:val="20"/>
      <w:szCs w:val="20"/>
    </w:rPr>
  </w:style>
  <w:style w:type="paragraph" w:styleId="MPos">
    <w:name w:val="MPos"/>
    <w:basedOn w:val="[Normal]"/>
    <w:next w:val="MPos"/>
    <w:qFormat/>
    <w:pPr/>
    <w:rPr>
      <w:b/>
      <w:bCs/>
      <w:sz w:val="20"/>
      <w:szCs w:val="20"/>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image" Target="media/image0001.jpg"/>
	<Relationship Id="rId00004" Type="http://schemas.openxmlformats.org/officeDocument/2006/relationships/image" Target="media/image0002.jpg"/>
	<Relationship Id="rId00005" Type="http://schemas.openxmlformats.org/officeDocument/2006/relationships/image" Target="media/image0003.jpg"/>
	<Relationship Id="rId00006" Type="http://schemas.openxmlformats.org/officeDocument/2006/relationships/image" Target="media/image0004.jpg"/>
	<Relationship Id="rId00007" Type="http://schemas.openxmlformats.org/officeDocument/2006/relationships/image" Target="media/image0005.jpg"/>
	<Relationship Id="rId00008" Type="http://schemas.openxmlformats.org/officeDocument/2006/relationships/image" Target="media/image0006.jpg"/>
	<Relationship Id="rId00009" Type="http://schemas.openxmlformats.org/officeDocument/2006/relationships/image" Target="media/image0007.jpg"/>
	<Relationship Id="rId00010" Type="http://schemas.openxmlformats.org/officeDocument/2006/relationships/image" Target="media/image0008.jpg"/>
	<Relationship Id="rId00011" Type="http://schemas.openxmlformats.org/officeDocument/2006/relationships/image" Target="media/image0009.jpg"/>
	<Relationship Id="rId00012" Type="http://schemas.openxmlformats.org/officeDocument/2006/relationships/image" Target="media/image0010.jpg"/>
	<Relationship Id="rId00013" Type="http://schemas.openxmlformats.org/officeDocument/2006/relationships/image" Target="media/image0011.jpg"/>
	<Relationship Id="rId00014" Type="http://schemas.openxmlformats.org/officeDocument/2006/relationships/image" Target="media/image0012.jpg"/>
	<Relationship Id="rId00015" Type="http://schemas.openxmlformats.org/officeDocument/2006/relationships/image" Target="media/image0013.jpg"/>
	<Relationship Id="rId00016" Type="http://schemas.openxmlformats.org/officeDocument/2006/relationships/fontTable" Target="fontTable.xml"/>
	<Relationship Id="rId00017" Type="http://schemas.openxmlformats.org/officeDocument/2006/relationships/settings" Target="settings.xml"/>
</Relationships>
</file>